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8E7B" w14:textId="457929F0" w:rsidR="00275F18" w:rsidRPr="00AD417A" w:rsidRDefault="00275F18" w:rsidP="00813BE1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AD417A">
        <w:rPr>
          <w:rFonts w:asciiTheme="minorHAnsi" w:hAnsiTheme="minorHAnsi" w:cstheme="minorHAnsi"/>
          <w:b/>
          <w:bCs/>
          <w:sz w:val="28"/>
          <w:szCs w:val="28"/>
          <w:lang w:val="en-US"/>
        </w:rPr>
        <w:t>Module 33 Unit 1 Activity 2</w:t>
      </w:r>
    </w:p>
    <w:p w14:paraId="544AB56D" w14:textId="227882DE" w:rsidR="00275F18" w:rsidRPr="00AD417A" w:rsidRDefault="00275F18" w:rsidP="00813BE1">
      <w:pPr>
        <w:rPr>
          <w:rFonts w:asciiTheme="minorHAnsi" w:hAnsiTheme="minorHAnsi" w:cstheme="minorHAnsi"/>
          <w:lang w:val="en-US"/>
        </w:rPr>
      </w:pPr>
      <w:r w:rsidRPr="00AD417A">
        <w:rPr>
          <w:rFonts w:asciiTheme="minorHAnsi" w:hAnsiTheme="minorHAnsi" w:cstheme="minorHAnsi"/>
          <w:lang w:val="en-US"/>
        </w:rPr>
        <w:t xml:space="preserve">Natalie </w:t>
      </w:r>
      <w:proofErr w:type="spellStart"/>
      <w:r w:rsidRPr="00AD417A">
        <w:rPr>
          <w:rFonts w:asciiTheme="minorHAnsi" w:hAnsiTheme="minorHAnsi" w:cstheme="minorHAnsi"/>
          <w:lang w:val="en-US"/>
        </w:rPr>
        <w:t>Bogdanoff</w:t>
      </w:r>
      <w:proofErr w:type="spellEnd"/>
    </w:p>
    <w:p w14:paraId="04415438" w14:textId="079EC27D" w:rsidR="00275F18" w:rsidRPr="00AD417A" w:rsidRDefault="00275F18" w:rsidP="00813BE1">
      <w:pPr>
        <w:rPr>
          <w:rFonts w:asciiTheme="minorHAnsi" w:hAnsiTheme="minorHAnsi" w:cstheme="minorHAnsi"/>
          <w:lang w:val="en-US"/>
        </w:rPr>
      </w:pPr>
    </w:p>
    <w:p w14:paraId="7097E3B7" w14:textId="14B5300E" w:rsidR="00275F18" w:rsidRPr="00AD417A" w:rsidRDefault="00275F18" w:rsidP="00813BE1">
      <w:pPr>
        <w:rPr>
          <w:rFonts w:asciiTheme="minorHAnsi" w:hAnsiTheme="minorHAnsi" w:cstheme="minorHAnsi"/>
          <w:lang w:val="en-US"/>
        </w:rPr>
      </w:pPr>
      <w:r w:rsidRPr="00AD417A">
        <w:rPr>
          <w:rFonts w:asciiTheme="minorHAnsi" w:hAnsiTheme="minorHAnsi" w:cstheme="minorHAnsi"/>
          <w:lang w:val="en-US"/>
        </w:rPr>
        <w:t>A list of 10 actions and an explanation for each which would ensure the ethical and appropriate use of data to help build student achievement.</w:t>
      </w:r>
    </w:p>
    <w:p w14:paraId="0601403D" w14:textId="790A0BA5" w:rsidR="00275F18" w:rsidRPr="00AD417A" w:rsidRDefault="00275F18" w:rsidP="00813BE1">
      <w:pPr>
        <w:rPr>
          <w:rFonts w:asciiTheme="minorHAnsi" w:hAnsiTheme="minorHAnsi"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953"/>
      </w:tblGrid>
      <w:tr w:rsidR="00275F18" w:rsidRPr="00AD417A" w14:paraId="7B8D24E4" w14:textId="77777777" w:rsidTr="00AD417A">
        <w:tc>
          <w:tcPr>
            <w:tcW w:w="846" w:type="dxa"/>
          </w:tcPr>
          <w:p w14:paraId="2A86344A" w14:textId="77777777" w:rsidR="00275F18" w:rsidRPr="00AD417A" w:rsidRDefault="00275F18" w:rsidP="00AD417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7990B819" w14:textId="66445386" w:rsidR="00275F18" w:rsidRPr="00AD417A" w:rsidRDefault="00275F18" w:rsidP="00813BE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D417A">
              <w:rPr>
                <w:rFonts w:asciiTheme="minorHAnsi" w:hAnsiTheme="minorHAnsi" w:cstheme="minorHAnsi"/>
                <w:b/>
                <w:bCs/>
                <w:lang w:val="en-US"/>
              </w:rPr>
              <w:t>Actions to ensure the ethical and appropriate use of data to build student achievement</w:t>
            </w:r>
          </w:p>
        </w:tc>
        <w:tc>
          <w:tcPr>
            <w:tcW w:w="5953" w:type="dxa"/>
          </w:tcPr>
          <w:p w14:paraId="3FF38048" w14:textId="6645185D" w:rsidR="00275F18" w:rsidRPr="00AD417A" w:rsidRDefault="00275F18" w:rsidP="00813BE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D417A">
              <w:rPr>
                <w:rFonts w:asciiTheme="minorHAnsi" w:hAnsiTheme="minorHAnsi" w:cstheme="minorHAnsi"/>
                <w:b/>
                <w:bCs/>
                <w:lang w:val="en-US"/>
              </w:rPr>
              <w:t>Explanation</w:t>
            </w:r>
          </w:p>
        </w:tc>
      </w:tr>
      <w:tr w:rsidR="00275F18" w:rsidRPr="00AD417A" w14:paraId="7DDD45D3" w14:textId="77777777" w:rsidTr="00AD417A">
        <w:tc>
          <w:tcPr>
            <w:tcW w:w="846" w:type="dxa"/>
          </w:tcPr>
          <w:p w14:paraId="271BC9A7" w14:textId="4E034EF6" w:rsidR="00275F18" w:rsidRPr="00AD417A" w:rsidRDefault="00275F18" w:rsidP="00AD417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164BD94F" w14:textId="7A69DABF" w:rsidR="00275F18" w:rsidRPr="00AD417A" w:rsidRDefault="00813BE1" w:rsidP="00813BE1">
            <w:pPr>
              <w:pStyle w:val="NormalWeb"/>
              <w:rPr>
                <w:rFonts w:asciiTheme="minorHAnsi" w:hAnsiTheme="minorHAnsi" w:cstheme="minorHAnsi"/>
              </w:rPr>
            </w:pPr>
            <w:r w:rsidRPr="00AD417A">
              <w:rPr>
                <w:rFonts w:asciiTheme="minorHAnsi" w:hAnsiTheme="minorHAnsi" w:cstheme="minorHAnsi"/>
                <w:lang w:val="en-US"/>
              </w:rPr>
              <w:t>D</w:t>
            </w:r>
            <w:r w:rsidR="00275F18" w:rsidRPr="00AD417A">
              <w:rPr>
                <w:rFonts w:asciiTheme="minorHAnsi" w:hAnsiTheme="minorHAnsi" w:cstheme="minorHAnsi"/>
              </w:rPr>
              <w:t xml:space="preserve">ata use for continuous improvement </w:t>
            </w:r>
          </w:p>
          <w:p w14:paraId="7013C788" w14:textId="77777777" w:rsidR="00275F18" w:rsidRPr="00AD417A" w:rsidRDefault="00275F18" w:rsidP="00813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B0B424D" w14:textId="29A19363" w:rsidR="00275F18" w:rsidRPr="00AD417A" w:rsidRDefault="00813BE1" w:rsidP="00813BE1">
            <w:pPr>
              <w:pStyle w:val="NormalWeb"/>
              <w:rPr>
                <w:rFonts w:asciiTheme="minorHAnsi" w:hAnsiTheme="minorHAnsi" w:cstheme="minorHAnsi"/>
                <w:lang w:val="en-US"/>
              </w:rPr>
            </w:pPr>
            <w:r w:rsidRPr="00AD417A">
              <w:rPr>
                <w:rFonts w:asciiTheme="minorHAnsi" w:hAnsiTheme="minorHAnsi" w:cstheme="minorHAnsi"/>
                <w:lang w:val="en-US"/>
              </w:rPr>
              <w:t>D</w:t>
            </w:r>
            <w:r w:rsidR="00275F18" w:rsidRPr="00AD417A">
              <w:rPr>
                <w:rFonts w:asciiTheme="minorHAnsi" w:hAnsiTheme="minorHAnsi" w:cstheme="minorHAnsi"/>
              </w:rPr>
              <w:t>ata are used for diagnostic purposes and with integrity</w:t>
            </w:r>
            <w:r w:rsidRPr="00AD417A">
              <w:rPr>
                <w:rFonts w:asciiTheme="minorHAnsi" w:hAnsiTheme="minorHAnsi" w:cstheme="minorHAnsi"/>
                <w:lang w:val="en-US"/>
              </w:rPr>
              <w:t>.</w:t>
            </w:r>
            <w:r w:rsidR="00275F18" w:rsidRPr="00AD417A">
              <w:rPr>
                <w:rFonts w:asciiTheme="minorHAnsi" w:hAnsiTheme="minorHAnsi" w:cstheme="minorHAnsi"/>
              </w:rPr>
              <w:t xml:space="preserve"> Data are used as part of a reflective process aimed at enlightenment and guiding and mobilizing action to improve the school over time</w:t>
            </w:r>
            <w:r w:rsidR="00F261A7" w:rsidRPr="00AD417A">
              <w:rPr>
                <w:rFonts w:asciiTheme="minorHAnsi" w:hAnsiTheme="minorHAnsi" w:cstheme="minorHAnsi"/>
              </w:rPr>
              <w:t xml:space="preserve">. 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(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Datnow, A. &amp; Park, V.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2018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>, p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137).</w:t>
            </w:r>
          </w:p>
          <w:p w14:paraId="41DAB1A1" w14:textId="77777777" w:rsidR="00275F18" w:rsidRPr="00AD417A" w:rsidRDefault="00275F18" w:rsidP="00813BE1">
            <w:pPr>
              <w:rPr>
                <w:rFonts w:asciiTheme="minorHAnsi" w:hAnsiTheme="minorHAnsi" w:cstheme="minorHAnsi"/>
              </w:rPr>
            </w:pPr>
          </w:p>
        </w:tc>
      </w:tr>
      <w:tr w:rsidR="00275F18" w:rsidRPr="00AD417A" w14:paraId="362A56AE" w14:textId="77777777" w:rsidTr="00AD417A">
        <w:tc>
          <w:tcPr>
            <w:tcW w:w="846" w:type="dxa"/>
          </w:tcPr>
          <w:p w14:paraId="2CCCB5C7" w14:textId="0412E16F" w:rsidR="00275F18" w:rsidRPr="00AD417A" w:rsidRDefault="00275F18" w:rsidP="00AD417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45685D80" w14:textId="5CC17DEF" w:rsidR="00275F18" w:rsidRPr="00AD417A" w:rsidRDefault="00275F18" w:rsidP="00813BE1">
            <w:pPr>
              <w:pStyle w:val="NormalWeb"/>
              <w:rPr>
                <w:rFonts w:asciiTheme="minorHAnsi" w:hAnsiTheme="minorHAnsi" w:cstheme="minorHAnsi"/>
              </w:rPr>
            </w:pPr>
            <w:r w:rsidRPr="00AD417A">
              <w:rPr>
                <w:rFonts w:asciiTheme="minorHAnsi" w:hAnsiTheme="minorHAnsi" w:cstheme="minorHAnsi"/>
              </w:rPr>
              <w:t>Data</w:t>
            </w:r>
            <w:r w:rsidR="00813BE1" w:rsidRPr="00AD417A">
              <w:rPr>
                <w:rFonts w:asciiTheme="minorHAnsi" w:hAnsiTheme="minorHAnsi" w:cstheme="minorHAnsi"/>
                <w:lang w:val="en-US"/>
              </w:rPr>
              <w:t>-</w:t>
            </w:r>
            <w:r w:rsidRPr="00AD417A">
              <w:rPr>
                <w:rFonts w:asciiTheme="minorHAnsi" w:hAnsiTheme="minorHAnsi" w:cstheme="minorHAnsi"/>
              </w:rPr>
              <w:t>use meetings focused on instructional improvement</w:t>
            </w:r>
          </w:p>
          <w:p w14:paraId="44664C2A" w14:textId="77777777" w:rsidR="00275F18" w:rsidRPr="00AD417A" w:rsidRDefault="00275F18" w:rsidP="00813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2384BBEE" w14:textId="4CAB2478" w:rsidR="00275F18" w:rsidRPr="00AD417A" w:rsidRDefault="00813BE1" w:rsidP="00813BE1">
            <w:pPr>
              <w:pStyle w:val="NormalWeb"/>
              <w:rPr>
                <w:rFonts w:asciiTheme="minorHAnsi" w:hAnsiTheme="minorHAnsi" w:cstheme="minorHAnsi"/>
                <w:lang w:val="en-US"/>
              </w:rPr>
            </w:pPr>
            <w:r w:rsidRPr="00AD417A">
              <w:rPr>
                <w:rFonts w:asciiTheme="minorHAnsi" w:hAnsiTheme="minorHAnsi" w:cstheme="minorHAnsi"/>
                <w:lang w:val="en-US"/>
              </w:rPr>
              <w:t>S</w:t>
            </w:r>
            <w:r w:rsidR="00F261A7" w:rsidRPr="00AD417A">
              <w:rPr>
                <w:rFonts w:asciiTheme="minorHAnsi" w:hAnsiTheme="minorHAnsi" w:cstheme="minorHAnsi"/>
              </w:rPr>
              <w:t xml:space="preserve">chools and districts in which leaders strategically framed the use of data </w:t>
            </w:r>
            <w:proofErr w:type="gramStart"/>
            <w:r w:rsidR="00F261A7" w:rsidRPr="00AD417A">
              <w:rPr>
                <w:rFonts w:asciiTheme="minorHAnsi" w:hAnsiTheme="minorHAnsi" w:cstheme="minorHAnsi"/>
              </w:rPr>
              <w:t>in an effort to</w:t>
            </w:r>
            <w:proofErr w:type="gramEnd"/>
            <w:r w:rsidR="00F261A7" w:rsidRPr="00AD417A">
              <w:rPr>
                <w:rFonts w:asciiTheme="minorHAnsi" w:hAnsiTheme="minorHAnsi" w:cstheme="minorHAnsi"/>
              </w:rPr>
              <w:t xml:space="preserve"> produce more equitable learning opportunities and outcomes for all their students. 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(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Datnow, A. &amp; Park, V.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2018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>, p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13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9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).</w:t>
            </w:r>
          </w:p>
        </w:tc>
      </w:tr>
      <w:tr w:rsidR="00275F18" w:rsidRPr="00AD417A" w14:paraId="517F0C9B" w14:textId="77777777" w:rsidTr="00AD417A">
        <w:tc>
          <w:tcPr>
            <w:tcW w:w="846" w:type="dxa"/>
          </w:tcPr>
          <w:p w14:paraId="114C140D" w14:textId="37E0DDF5" w:rsidR="00275F18" w:rsidRPr="00AD417A" w:rsidRDefault="00275F18" w:rsidP="00AD417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6D8DE34B" w14:textId="5CA2F21F" w:rsidR="00275F18" w:rsidRPr="00AD417A" w:rsidRDefault="00275F18" w:rsidP="00813BE1">
            <w:pPr>
              <w:pStyle w:val="NormalWeb"/>
              <w:rPr>
                <w:rFonts w:asciiTheme="minorHAnsi" w:hAnsiTheme="minorHAnsi" w:cstheme="minorHAnsi"/>
              </w:rPr>
            </w:pPr>
            <w:r w:rsidRPr="00AD417A">
              <w:rPr>
                <w:rFonts w:asciiTheme="minorHAnsi" w:hAnsiTheme="minorHAnsi" w:cstheme="minorHAnsi"/>
              </w:rPr>
              <w:t xml:space="preserve">Focusing on multiple types of data </w:t>
            </w:r>
          </w:p>
          <w:p w14:paraId="2EA9EB19" w14:textId="77777777" w:rsidR="00275F18" w:rsidRPr="00AD417A" w:rsidRDefault="00275F18" w:rsidP="00813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47ACF6A6" w14:textId="68797576" w:rsidR="00813BE1" w:rsidRPr="00AD417A" w:rsidRDefault="00813BE1" w:rsidP="00813BE1">
            <w:pPr>
              <w:pStyle w:val="NormalWeb"/>
              <w:rPr>
                <w:rFonts w:asciiTheme="minorHAnsi" w:hAnsiTheme="minorHAnsi" w:cstheme="minorHAnsi"/>
                <w:lang w:val="en-US"/>
              </w:rPr>
            </w:pPr>
            <w:r w:rsidRPr="00AD417A">
              <w:rPr>
                <w:rFonts w:asciiTheme="minorHAnsi" w:hAnsiTheme="minorHAnsi" w:cstheme="minorHAnsi"/>
                <w:lang w:val="en-US"/>
              </w:rPr>
              <w:t>U</w:t>
            </w:r>
            <w:r w:rsidR="00F261A7" w:rsidRPr="00AD417A">
              <w:rPr>
                <w:rFonts w:asciiTheme="minorHAnsi" w:hAnsiTheme="minorHAnsi" w:cstheme="minorHAnsi"/>
              </w:rPr>
              <w:t xml:space="preserve">sing multiple forms of data to inform instructional decision making can help provide a more holistic picture of student achievement and provide more ways to see evidence of student growth. This allows for a greater possibility that the strengths of students who have historically been disadvantaged by standardized measures will be evident. 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(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Datnow, A. &amp; Park, V.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2018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>, p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>141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).</w:t>
            </w:r>
          </w:p>
        </w:tc>
      </w:tr>
      <w:tr w:rsidR="00275F18" w:rsidRPr="00AD417A" w14:paraId="2352EED5" w14:textId="77777777" w:rsidTr="00AD417A">
        <w:tc>
          <w:tcPr>
            <w:tcW w:w="846" w:type="dxa"/>
          </w:tcPr>
          <w:p w14:paraId="66623BAA" w14:textId="68794C42" w:rsidR="00275F18" w:rsidRPr="00AD417A" w:rsidRDefault="00275F18" w:rsidP="00AD417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4A51F2D0" w14:textId="468212D9" w:rsidR="00F261A7" w:rsidRPr="00AD417A" w:rsidRDefault="00813BE1" w:rsidP="00813BE1">
            <w:pPr>
              <w:pStyle w:val="NormalWeb"/>
              <w:rPr>
                <w:rFonts w:asciiTheme="minorHAnsi" w:hAnsiTheme="minorHAnsi" w:cstheme="minorHAnsi"/>
              </w:rPr>
            </w:pPr>
            <w:r w:rsidRPr="00AD417A">
              <w:rPr>
                <w:rFonts w:asciiTheme="minorHAnsi" w:hAnsiTheme="minorHAnsi" w:cstheme="minorHAnsi"/>
                <w:lang w:val="en-US"/>
              </w:rPr>
              <w:t>E</w:t>
            </w:r>
            <w:r w:rsidR="00F261A7" w:rsidRPr="00AD417A">
              <w:rPr>
                <w:rFonts w:asciiTheme="minorHAnsi" w:hAnsiTheme="minorHAnsi" w:cstheme="minorHAnsi"/>
              </w:rPr>
              <w:t xml:space="preserve">xamining data on all students </w:t>
            </w:r>
          </w:p>
          <w:p w14:paraId="6197DC12" w14:textId="77777777" w:rsidR="00275F18" w:rsidRPr="00AD417A" w:rsidRDefault="00275F18" w:rsidP="00813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9E28D49" w14:textId="70A453E6" w:rsidR="00275F18" w:rsidRPr="00AD417A" w:rsidRDefault="00813BE1" w:rsidP="00813BE1">
            <w:pPr>
              <w:pStyle w:val="NormalWeb"/>
              <w:rPr>
                <w:rFonts w:asciiTheme="minorHAnsi" w:hAnsiTheme="minorHAnsi" w:cstheme="minorHAnsi"/>
                <w:lang w:val="en-US"/>
              </w:rPr>
            </w:pPr>
            <w:r w:rsidRPr="00AD417A">
              <w:rPr>
                <w:rFonts w:asciiTheme="minorHAnsi" w:hAnsiTheme="minorHAnsi" w:cstheme="minorHAnsi"/>
                <w:lang w:val="en-US"/>
              </w:rPr>
              <w:t>E</w:t>
            </w:r>
            <w:r w:rsidR="00F261A7" w:rsidRPr="00AD417A">
              <w:rPr>
                <w:rFonts w:asciiTheme="minorHAnsi" w:hAnsiTheme="minorHAnsi" w:cstheme="minorHAnsi"/>
              </w:rPr>
              <w:t>quity cannot be achieved unless data</w:t>
            </w:r>
            <w:r w:rsidRPr="00AD417A">
              <w:rPr>
                <w:rFonts w:asciiTheme="minorHAnsi" w:hAnsiTheme="minorHAnsi" w:cstheme="minorHAnsi"/>
                <w:lang w:val="en-US"/>
              </w:rPr>
              <w:t>-</w:t>
            </w:r>
            <w:r w:rsidR="00F261A7" w:rsidRPr="00AD417A">
              <w:rPr>
                <w:rFonts w:asciiTheme="minorHAnsi" w:hAnsiTheme="minorHAnsi" w:cstheme="minorHAnsi"/>
              </w:rPr>
              <w:t xml:space="preserve">use efforts focus on all students. When data use is narrowly focused on students ‘‘on the bubble,’’ many students get left behind. A focus on all students allows data use efforts to address students’ individual needs and for instructional changes to focus on lifting the class as a whole, rather than small groups of students. 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(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Datnow, A. &amp; Park, V.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2018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>, p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>144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).</w:t>
            </w:r>
          </w:p>
        </w:tc>
      </w:tr>
      <w:tr w:rsidR="00275F18" w:rsidRPr="00AD417A" w14:paraId="7ECD8DB3" w14:textId="77777777" w:rsidTr="00AD417A">
        <w:tc>
          <w:tcPr>
            <w:tcW w:w="846" w:type="dxa"/>
          </w:tcPr>
          <w:p w14:paraId="3FA11588" w14:textId="43C70925" w:rsidR="00275F18" w:rsidRPr="00AD417A" w:rsidRDefault="00275F18" w:rsidP="00AD417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1C6E93F5" w14:textId="419306E4" w:rsidR="00F261A7" w:rsidRPr="00AD417A" w:rsidRDefault="00813BE1" w:rsidP="00813BE1">
            <w:pPr>
              <w:pStyle w:val="NormalWeb"/>
              <w:rPr>
                <w:rFonts w:asciiTheme="minorHAnsi" w:hAnsiTheme="minorHAnsi" w:cstheme="minorHAnsi"/>
              </w:rPr>
            </w:pPr>
            <w:r w:rsidRPr="00AD417A">
              <w:rPr>
                <w:rFonts w:asciiTheme="minorHAnsi" w:hAnsiTheme="minorHAnsi" w:cstheme="minorHAnsi"/>
                <w:lang w:val="en-US"/>
              </w:rPr>
              <w:t>Use</w:t>
            </w:r>
            <w:r w:rsidR="00F261A7" w:rsidRPr="00AD417A">
              <w:rPr>
                <w:rFonts w:asciiTheme="minorHAnsi" w:hAnsiTheme="minorHAnsi" w:cstheme="minorHAnsi"/>
              </w:rPr>
              <w:t xml:space="preserve"> data to challenge beliefs </w:t>
            </w:r>
          </w:p>
          <w:p w14:paraId="21C3C612" w14:textId="77777777" w:rsidR="00275F18" w:rsidRPr="00AD417A" w:rsidRDefault="00275F18" w:rsidP="00813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6E9254D6" w14:textId="6FCB8226" w:rsidR="00275F18" w:rsidRPr="00AD417A" w:rsidRDefault="00813BE1" w:rsidP="00813BE1">
            <w:pPr>
              <w:pStyle w:val="NormalWeb"/>
              <w:rPr>
                <w:rFonts w:asciiTheme="minorHAnsi" w:hAnsiTheme="minorHAnsi" w:cstheme="minorHAnsi"/>
                <w:lang w:val="en-US"/>
              </w:rPr>
            </w:pPr>
            <w:r w:rsidRPr="00AD417A">
              <w:rPr>
                <w:rFonts w:asciiTheme="minorHAnsi" w:hAnsiTheme="minorHAnsi" w:cstheme="minorHAnsi"/>
                <w:lang w:val="en-US"/>
              </w:rPr>
              <w:t>D</w:t>
            </w:r>
            <w:r w:rsidR="00F261A7" w:rsidRPr="00AD417A">
              <w:rPr>
                <w:rFonts w:asciiTheme="minorHAnsi" w:hAnsiTheme="minorHAnsi" w:cstheme="minorHAnsi"/>
              </w:rPr>
              <w:t>ata can play a very powerful role in challenging stereotypes and providing an opportunity for educators to examine the relationship between instructional practices and achievement.</w:t>
            </w:r>
            <w:r w:rsidRPr="00AD417A">
              <w:rPr>
                <w:rFonts w:asciiTheme="minorHAnsi" w:hAnsiTheme="minorHAnsi" w:cstheme="minorHAnsi"/>
                <w:lang w:val="en-US"/>
              </w:rPr>
              <w:t xml:space="preserve"> S</w:t>
            </w:r>
            <w:r w:rsidR="00F261A7" w:rsidRPr="00AD417A">
              <w:rPr>
                <w:rFonts w:asciiTheme="minorHAnsi" w:hAnsiTheme="minorHAnsi" w:cstheme="minorHAnsi"/>
              </w:rPr>
              <w:t>chool</w:t>
            </w:r>
            <w:r w:rsidRPr="00AD417A">
              <w:rPr>
                <w:rFonts w:asciiTheme="minorHAnsi" w:hAnsiTheme="minorHAnsi" w:cstheme="minorHAnsi"/>
                <w:lang w:val="en-US"/>
              </w:rPr>
              <w:t>[</w:t>
            </w:r>
            <w:r w:rsidRPr="00AD417A">
              <w:rPr>
                <w:rFonts w:asciiTheme="minorHAnsi" w:hAnsiTheme="minorHAnsi" w:cstheme="minorHAnsi"/>
              </w:rPr>
              <w:t xml:space="preserve">s] </w:t>
            </w:r>
            <w:r w:rsidR="00F261A7" w:rsidRPr="00AD417A">
              <w:rPr>
                <w:rFonts w:asciiTheme="minorHAnsi" w:hAnsiTheme="minorHAnsi" w:cstheme="minorHAnsi"/>
              </w:rPr>
              <w:t xml:space="preserve">must debunk myths about intelligence as easily measurable and explicitly challenge </w:t>
            </w:r>
            <w:r w:rsidR="00F261A7" w:rsidRPr="00AD417A">
              <w:rPr>
                <w:rFonts w:asciiTheme="minorHAnsi" w:hAnsiTheme="minorHAnsi" w:cstheme="minorHAnsi"/>
              </w:rPr>
              <w:lastRenderedPageBreak/>
              <w:t xml:space="preserve">common comments about young people or families that are harmful. 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(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Datnow, A. &amp; Park, V.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2018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>, p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1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46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).</w:t>
            </w:r>
          </w:p>
        </w:tc>
      </w:tr>
      <w:tr w:rsidR="00275F18" w:rsidRPr="00AD417A" w14:paraId="5D3646C5" w14:textId="77777777" w:rsidTr="00AD417A">
        <w:tc>
          <w:tcPr>
            <w:tcW w:w="846" w:type="dxa"/>
          </w:tcPr>
          <w:p w14:paraId="2EC204E3" w14:textId="0B5568C6" w:rsidR="00275F18" w:rsidRPr="00AD417A" w:rsidRDefault="00275F18" w:rsidP="00AD417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42623A52" w14:textId="0D224525" w:rsidR="00F261A7" w:rsidRPr="00AD417A" w:rsidRDefault="00F261A7" w:rsidP="00813BE1">
            <w:pPr>
              <w:pStyle w:val="NormalWeb"/>
              <w:rPr>
                <w:rFonts w:asciiTheme="minorHAnsi" w:hAnsiTheme="minorHAnsi" w:cstheme="minorHAnsi"/>
              </w:rPr>
            </w:pPr>
            <w:r w:rsidRPr="00AD417A">
              <w:rPr>
                <w:rFonts w:asciiTheme="minorHAnsi" w:hAnsiTheme="minorHAnsi" w:cstheme="minorHAnsi"/>
              </w:rPr>
              <w:t>Using data for</w:t>
            </w:r>
            <w:r w:rsidR="00813BE1" w:rsidRPr="00AD417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D417A">
              <w:rPr>
                <w:rFonts w:asciiTheme="minorHAnsi" w:hAnsiTheme="minorHAnsi" w:cstheme="minorHAnsi"/>
              </w:rPr>
              <w:t xml:space="preserve">flexible grouping </w:t>
            </w:r>
          </w:p>
          <w:p w14:paraId="644251DA" w14:textId="77777777" w:rsidR="00275F18" w:rsidRPr="00AD417A" w:rsidRDefault="00275F18" w:rsidP="00813B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A8B074B" w14:textId="0A0DDC76" w:rsidR="00F261A7" w:rsidRPr="00AD417A" w:rsidRDefault="00AD417A" w:rsidP="00813BE1">
            <w:pPr>
              <w:pStyle w:val="NormalWeb"/>
              <w:rPr>
                <w:rFonts w:asciiTheme="minorHAnsi" w:hAnsiTheme="minorHAnsi" w:cstheme="minorHAnsi"/>
                <w:lang w:val="en-US"/>
              </w:rPr>
            </w:pPr>
            <w:r w:rsidRPr="00AD417A">
              <w:rPr>
                <w:rFonts w:asciiTheme="minorHAnsi" w:hAnsiTheme="minorHAnsi" w:cstheme="minorHAnsi"/>
                <w:lang w:val="en-US"/>
              </w:rPr>
              <w:t>I</w:t>
            </w:r>
            <w:r w:rsidR="00F261A7" w:rsidRPr="00AD417A">
              <w:rPr>
                <w:rFonts w:asciiTheme="minorHAnsi" w:hAnsiTheme="minorHAnsi" w:cstheme="minorHAnsi"/>
              </w:rPr>
              <w:t xml:space="preserve">nstances </w:t>
            </w:r>
            <w:r w:rsidRPr="00AD417A">
              <w:rPr>
                <w:rFonts w:asciiTheme="minorHAnsi" w:hAnsiTheme="minorHAnsi" w:cstheme="minorHAnsi"/>
                <w:lang w:val="en-US"/>
              </w:rPr>
              <w:t xml:space="preserve">have been observed </w:t>
            </w:r>
            <w:r w:rsidR="00F261A7" w:rsidRPr="00AD417A">
              <w:rPr>
                <w:rFonts w:asciiTheme="minorHAnsi" w:hAnsiTheme="minorHAnsi" w:cstheme="minorHAnsi"/>
              </w:rPr>
              <w:t>in which data use has inspired flexible grouping geared around students’ individual needs and skills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(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Datnow, A. &amp; Park, V.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r w:rsidR="000F0BBF" w:rsidRPr="00AD417A">
              <w:rPr>
                <w:rFonts w:asciiTheme="minorHAnsi" w:hAnsiTheme="minorHAnsi" w:cstheme="minorHAnsi"/>
                <w:color w:val="000000"/>
              </w:rPr>
              <w:t>2018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>, p</w:t>
            </w:r>
            <w:r w:rsidR="000F0BBF" w:rsidRPr="00AD417A">
              <w:rPr>
                <w:rFonts w:asciiTheme="minorHAnsi" w:hAnsiTheme="minorHAnsi" w:cstheme="minorHAnsi"/>
                <w:color w:val="000000"/>
                <w:lang w:val="en-US"/>
              </w:rPr>
              <w:t>148</w:t>
            </w:r>
            <w:r w:rsidR="000F0BBF" w:rsidRPr="00AD417A">
              <w:rPr>
                <w:rFonts w:asciiTheme="minorHAnsi" w:hAnsiTheme="minorHAnsi" w:cstheme="minorHAnsi"/>
                <w:lang w:val="en-US"/>
              </w:rPr>
              <w:t>).</w:t>
            </w:r>
          </w:p>
          <w:p w14:paraId="5F4B0CC8" w14:textId="77777777" w:rsidR="00275F18" w:rsidRPr="00AD417A" w:rsidRDefault="00275F18" w:rsidP="00813BE1">
            <w:pPr>
              <w:rPr>
                <w:rFonts w:asciiTheme="minorHAnsi" w:hAnsiTheme="minorHAnsi" w:cstheme="minorHAnsi"/>
              </w:rPr>
            </w:pPr>
          </w:p>
        </w:tc>
      </w:tr>
      <w:tr w:rsidR="00275F18" w:rsidRPr="00AD417A" w14:paraId="6135F0EF" w14:textId="77777777" w:rsidTr="00AD417A">
        <w:tc>
          <w:tcPr>
            <w:tcW w:w="846" w:type="dxa"/>
          </w:tcPr>
          <w:p w14:paraId="0645E5E9" w14:textId="67B01CD0" w:rsidR="00275F18" w:rsidRPr="00AD417A" w:rsidRDefault="00275F18" w:rsidP="00AD417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4291D62A" w14:textId="2D39F2C7" w:rsidR="00275F18" w:rsidRPr="00AD417A" w:rsidRDefault="00AD417A" w:rsidP="00813BE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  <w:lang w:val="en-US"/>
              </w:rPr>
              <w:t>U</w:t>
            </w:r>
            <w:r w:rsidR="00EE5BD6" w:rsidRPr="00AD417A"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</w:rPr>
              <w:t xml:space="preserve">se of data keeps </w:t>
            </w:r>
            <w:r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  <w:lang w:val="en-US"/>
              </w:rPr>
              <w:t>educators</w:t>
            </w:r>
            <w:r w:rsidR="00EE5BD6" w:rsidRPr="00AD417A"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</w:rPr>
              <w:t xml:space="preserve"> focused</w:t>
            </w:r>
          </w:p>
        </w:tc>
        <w:tc>
          <w:tcPr>
            <w:tcW w:w="5953" w:type="dxa"/>
          </w:tcPr>
          <w:p w14:paraId="6FD1DDC6" w14:textId="47D6D74F" w:rsidR="00275F18" w:rsidRPr="00AD417A" w:rsidRDefault="00EE5BD6" w:rsidP="00AD417A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Theme="minorHAnsi" w:hAnsiTheme="minorHAnsi" w:cstheme="minorHAnsi"/>
                <w:color w:val="333333"/>
                <w:spacing w:val="12"/>
                <w:lang w:val="en-US"/>
              </w:rPr>
            </w:pPr>
            <w:r w:rsidRPr="00AD417A">
              <w:rPr>
                <w:rFonts w:asciiTheme="minorHAnsi" w:hAnsiTheme="minorHAnsi" w:cstheme="minorHAnsi"/>
                <w:color w:val="333333"/>
                <w:spacing w:val="12"/>
              </w:rPr>
              <w:t>Schools that do not use data tend to leave their school improvement efforts within two years</w:t>
            </w:r>
            <w:r w:rsidR="00AD417A">
              <w:rPr>
                <w:rFonts w:asciiTheme="minorHAnsi" w:hAnsiTheme="minorHAnsi" w:cstheme="minorHAnsi"/>
                <w:color w:val="333333"/>
                <w:spacing w:val="12"/>
                <w:lang w:val="en-US"/>
              </w:rPr>
              <w:t xml:space="preserve">. </w:t>
            </w:r>
            <w:r w:rsidRPr="00AD417A"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  <w:lang w:val="en-US"/>
              </w:rPr>
              <w:t>(Dianne Curtis, 2002)</w:t>
            </w:r>
          </w:p>
        </w:tc>
      </w:tr>
      <w:tr w:rsidR="00275F18" w:rsidRPr="00AD417A" w14:paraId="4690A922" w14:textId="77777777" w:rsidTr="00AD417A">
        <w:tc>
          <w:tcPr>
            <w:tcW w:w="846" w:type="dxa"/>
          </w:tcPr>
          <w:p w14:paraId="5CD7DD60" w14:textId="77777777" w:rsidR="00275F18" w:rsidRPr="00AD417A" w:rsidRDefault="00275F18" w:rsidP="00AD417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60549DFD" w14:textId="3B126438" w:rsidR="00275F18" w:rsidRPr="00AD417A" w:rsidRDefault="00AD417A" w:rsidP="00813BE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  <w:lang w:val="en-US"/>
              </w:rPr>
              <w:t>U</w:t>
            </w:r>
            <w:r w:rsidR="00FE1C18" w:rsidRPr="00AD417A"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</w:rPr>
              <w:t>sing data to best inform your practice.</w:t>
            </w:r>
          </w:p>
        </w:tc>
        <w:tc>
          <w:tcPr>
            <w:tcW w:w="5953" w:type="dxa"/>
          </w:tcPr>
          <w:p w14:paraId="293DE541" w14:textId="235F36D5" w:rsidR="00275F18" w:rsidRPr="00AD417A" w:rsidRDefault="00AD417A" w:rsidP="00813BE1">
            <w:pPr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</w:pPr>
            <w:r w:rsidRPr="00AD417A"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</w:rPr>
              <w:t>Data utilization is one of the principles for an educator network,</w:t>
            </w:r>
            <w:r w:rsidRPr="00AD417A"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  <w:lang w:val="en-US"/>
              </w:rPr>
              <w:t xml:space="preserve"> it shows quantifiably that children understand concepts and are ready to move on.</w:t>
            </w:r>
            <w:r w:rsidRPr="00AD417A"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</w:rPr>
              <w:t xml:space="preserve"> </w:t>
            </w:r>
            <w:r w:rsidRPr="00AD417A"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</w:rPr>
              <w:t>But without that data, how would we be able to say that with accuracy?</w:t>
            </w:r>
            <w:r>
              <w:rPr>
                <w:rFonts w:asciiTheme="minorHAnsi" w:hAnsiTheme="minorHAnsi" w:cstheme="minorHAnsi"/>
                <w:color w:val="333333"/>
                <w:spacing w:val="12"/>
                <w:shd w:val="clear" w:color="auto" w:fill="FFFFFF"/>
                <w:lang w:val="en-US"/>
              </w:rPr>
              <w:t xml:space="preserve"> </w:t>
            </w:r>
            <w:r w:rsidRPr="00AD417A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(</w:t>
            </w:r>
            <w:r w:rsidR="00FE1C18" w:rsidRPr="00AD417A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Borovoy, A. E.</w:t>
            </w:r>
            <w:r w:rsidRPr="00AD417A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,</w:t>
            </w:r>
            <w:r w:rsidR="00FE1C18" w:rsidRPr="00AD417A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2019)</w:t>
            </w:r>
          </w:p>
        </w:tc>
      </w:tr>
      <w:tr w:rsidR="00275F18" w:rsidRPr="00AD417A" w14:paraId="10141112" w14:textId="77777777" w:rsidTr="00AD417A">
        <w:tc>
          <w:tcPr>
            <w:tcW w:w="846" w:type="dxa"/>
          </w:tcPr>
          <w:p w14:paraId="530EF929" w14:textId="77777777" w:rsidR="00275F18" w:rsidRPr="00AD417A" w:rsidRDefault="00275F18" w:rsidP="00AD417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00797982" w14:textId="49D82891" w:rsidR="00275F18" w:rsidRPr="00AD417A" w:rsidRDefault="008E65A7" w:rsidP="00813BE1">
            <w:pPr>
              <w:rPr>
                <w:rFonts w:asciiTheme="minorHAnsi" w:hAnsiTheme="minorHAnsi" w:cstheme="minorHAnsi"/>
                <w:lang w:val="en-US"/>
              </w:rPr>
            </w:pPr>
            <w:r w:rsidRPr="00AD417A">
              <w:rPr>
                <w:rFonts w:asciiTheme="minorHAnsi" w:hAnsiTheme="minorHAnsi" w:cstheme="minorHAnsi"/>
                <w:lang w:val="en-US"/>
              </w:rPr>
              <w:t xml:space="preserve">Staff training/ professional development  </w:t>
            </w:r>
          </w:p>
        </w:tc>
        <w:tc>
          <w:tcPr>
            <w:tcW w:w="5953" w:type="dxa"/>
          </w:tcPr>
          <w:p w14:paraId="4F371B03" w14:textId="45616559" w:rsidR="00275F18" w:rsidRPr="00AD417A" w:rsidRDefault="00AD417A" w:rsidP="00AD417A">
            <w:pPr>
              <w:pStyle w:val="NormalWeb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</w:t>
            </w:r>
            <w:r w:rsidR="008E65A7" w:rsidRPr="00AD417A">
              <w:rPr>
                <w:rFonts w:asciiTheme="minorHAnsi" w:hAnsiTheme="minorHAnsi" w:cstheme="minorHAnsi"/>
              </w:rPr>
              <w:t xml:space="preserve">thics training requires a resource commitment from school leaders: securing skilled trainers, tailoring curricula to the </w:t>
            </w:r>
            <w:proofErr w:type="gramStart"/>
            <w:r w:rsidR="008E65A7" w:rsidRPr="00AD417A">
              <w:rPr>
                <w:rFonts w:asciiTheme="minorHAnsi" w:hAnsiTheme="minorHAnsi" w:cstheme="minorHAnsi"/>
              </w:rPr>
              <w:t>organization’s</w:t>
            </w:r>
            <w:proofErr w:type="gramEnd"/>
            <w:r w:rsidR="008E65A7" w:rsidRPr="00AD417A">
              <w:rPr>
                <w:rFonts w:asciiTheme="minorHAnsi" w:hAnsiTheme="minorHAnsi" w:cstheme="minorHAnsi"/>
              </w:rPr>
              <w:t xml:space="preserve"> and learners’ needs, and allocating professional development time for staff to learn and practice new behaviors</w:t>
            </w:r>
            <w:r>
              <w:rPr>
                <w:rFonts w:asciiTheme="minorHAnsi" w:hAnsiTheme="minorHAnsi" w:cstheme="minorHAnsi"/>
                <w:lang w:val="en-US"/>
              </w:rPr>
              <w:t xml:space="preserve"> (NFES, 2010 p13).</w:t>
            </w:r>
          </w:p>
        </w:tc>
      </w:tr>
      <w:tr w:rsidR="00AD417A" w:rsidRPr="00AD417A" w14:paraId="1507A42F" w14:textId="77777777" w:rsidTr="00AD417A">
        <w:tc>
          <w:tcPr>
            <w:tcW w:w="846" w:type="dxa"/>
          </w:tcPr>
          <w:p w14:paraId="435955A9" w14:textId="5FEBFBC8" w:rsidR="00AD417A" w:rsidRPr="00AD417A" w:rsidRDefault="00AD417A" w:rsidP="00AD417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</w:tcPr>
          <w:p w14:paraId="55381FEA" w14:textId="684C7203" w:rsidR="00AD417A" w:rsidRPr="00AD417A" w:rsidRDefault="00AD417A" w:rsidP="00813BE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Funding/ resource allotment</w:t>
            </w:r>
          </w:p>
        </w:tc>
        <w:tc>
          <w:tcPr>
            <w:tcW w:w="5953" w:type="dxa"/>
          </w:tcPr>
          <w:p w14:paraId="652D46F2" w14:textId="3432463C" w:rsidR="00AD417A" w:rsidRDefault="00AD417A" w:rsidP="00AD417A">
            <w:pPr>
              <w:pStyle w:val="NormalWeb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As with all professional training and development</w:t>
            </w:r>
            <w:r w:rsidR="003D1568">
              <w:rPr>
                <w:rFonts w:asciiTheme="minorHAnsi" w:hAnsiTheme="minorHAnsi" w:cstheme="minorHAnsi"/>
                <w:lang w:val="en-US"/>
              </w:rPr>
              <w:t xml:space="preserve">; </w:t>
            </w:r>
            <w:r>
              <w:rPr>
                <w:rFonts w:asciiTheme="minorHAnsi" w:hAnsiTheme="minorHAnsi" w:cstheme="minorHAnsi"/>
                <w:lang w:val="en-US"/>
              </w:rPr>
              <w:t xml:space="preserve">The leadership team </w:t>
            </w:r>
            <w:r w:rsidR="003D1568">
              <w:rPr>
                <w:rFonts w:asciiTheme="minorHAnsi" w:hAnsiTheme="minorHAnsi" w:cstheme="minorHAnsi"/>
                <w:lang w:val="en-US"/>
              </w:rPr>
              <w:t xml:space="preserve">or coordinators </w:t>
            </w:r>
            <w:r>
              <w:rPr>
                <w:rFonts w:asciiTheme="minorHAnsi" w:hAnsiTheme="minorHAnsi" w:cstheme="minorHAnsi"/>
                <w:lang w:val="en-US"/>
              </w:rPr>
              <w:t>require</w:t>
            </w:r>
            <w:r w:rsidR="003D1568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professional training sessions, travel for </w:t>
            </w:r>
            <w:r w:rsidR="003D1568">
              <w:rPr>
                <w:rFonts w:asciiTheme="minorHAnsi" w:hAnsiTheme="minorHAnsi" w:cstheme="minorHAnsi"/>
                <w:lang w:val="en-US"/>
              </w:rPr>
              <w:t>professional seminars, and resources to share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D1568">
              <w:rPr>
                <w:rFonts w:asciiTheme="minorHAnsi" w:hAnsiTheme="minorHAnsi" w:cstheme="minorHAnsi"/>
                <w:lang w:val="en-US"/>
              </w:rPr>
              <w:t xml:space="preserve">with coworkers. </w:t>
            </w:r>
          </w:p>
        </w:tc>
      </w:tr>
    </w:tbl>
    <w:p w14:paraId="116DAE95" w14:textId="77777777" w:rsidR="00275F18" w:rsidRPr="00AD417A" w:rsidRDefault="00275F18" w:rsidP="00813BE1">
      <w:pPr>
        <w:rPr>
          <w:rFonts w:asciiTheme="minorHAnsi" w:hAnsiTheme="minorHAnsi" w:cstheme="minorHAnsi"/>
          <w:lang w:val="en-US"/>
        </w:rPr>
      </w:pPr>
    </w:p>
    <w:p w14:paraId="679F3331" w14:textId="22E7089A" w:rsidR="000F0BBF" w:rsidRPr="00AD417A" w:rsidRDefault="000F0BBF" w:rsidP="00813BE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01498C9" w14:textId="77777777" w:rsidR="00FE1C18" w:rsidRPr="00AD417A" w:rsidRDefault="00FE1C18" w:rsidP="00813BE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0A4F618E" w14:textId="77777777" w:rsidR="00AD417A" w:rsidRDefault="00FE1C18" w:rsidP="00813BE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hd w:val="clear" w:color="auto" w:fill="FFFFFF"/>
        </w:rPr>
      </w:pPr>
      <w:r w:rsidRPr="00AD417A">
        <w:rPr>
          <w:rFonts w:asciiTheme="minorHAnsi" w:hAnsiTheme="minorHAnsi" w:cstheme="minorHAnsi"/>
          <w:color w:val="333333"/>
          <w:shd w:val="clear" w:color="auto" w:fill="FFFFFF"/>
        </w:rPr>
        <w:t xml:space="preserve">Borovoy, A. E. (2019, May 10). Using Data to Support Teacher and Student Growth [Video]. </w:t>
      </w:r>
    </w:p>
    <w:p w14:paraId="5F4D6871" w14:textId="5D185A5C" w:rsidR="00FE1C18" w:rsidRPr="00AD417A" w:rsidRDefault="00FE1C18" w:rsidP="00AD417A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333333"/>
          <w:shd w:val="clear" w:color="auto" w:fill="FFFFFF"/>
        </w:rPr>
      </w:pPr>
      <w:r w:rsidRPr="00AD417A">
        <w:rPr>
          <w:rFonts w:asciiTheme="minorHAnsi" w:hAnsiTheme="minorHAnsi" w:cstheme="minorHAnsi"/>
          <w:color w:val="333333"/>
          <w:shd w:val="clear" w:color="auto" w:fill="FFFFFF"/>
        </w:rPr>
        <w:t xml:space="preserve">Edutopia. </w:t>
      </w:r>
      <w:hyperlink r:id="rId5" w:history="1">
        <w:r w:rsidRPr="00AD417A">
          <w:rPr>
            <w:rStyle w:val="Hyperlink"/>
            <w:rFonts w:asciiTheme="minorHAnsi" w:hAnsiTheme="minorHAnsi" w:cstheme="minorHAnsi"/>
            <w:shd w:val="clear" w:color="auto" w:fill="FFFFFF"/>
          </w:rPr>
          <w:t>https://www.edutopia.org/video/using-data-support-teacher-and-student-</w:t>
        </w:r>
        <w:r w:rsidRPr="00AD417A">
          <w:rPr>
            <w:rStyle w:val="Hyperlink"/>
            <w:rFonts w:asciiTheme="minorHAnsi" w:hAnsiTheme="minorHAnsi" w:cstheme="minorHAnsi"/>
            <w:shd w:val="clear" w:color="auto" w:fill="FFFFFF"/>
          </w:rPr>
          <w:t>g</w:t>
        </w:r>
        <w:r w:rsidRPr="00AD417A">
          <w:rPr>
            <w:rStyle w:val="Hyperlink"/>
            <w:rFonts w:asciiTheme="minorHAnsi" w:hAnsiTheme="minorHAnsi" w:cstheme="minorHAnsi"/>
            <w:shd w:val="clear" w:color="auto" w:fill="FFFFFF"/>
          </w:rPr>
          <w:t>rowth</w:t>
        </w:r>
      </w:hyperlink>
    </w:p>
    <w:p w14:paraId="3372EA3B" w14:textId="77777777" w:rsidR="00FE1C18" w:rsidRPr="00AD417A" w:rsidRDefault="00FE1C18" w:rsidP="00813BE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2DDA5381" w14:textId="40538621" w:rsidR="00EE5BD6" w:rsidRPr="00AD417A" w:rsidRDefault="00EE5BD6" w:rsidP="00813BE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hd w:val="clear" w:color="auto" w:fill="FFFFFF"/>
        </w:rPr>
      </w:pPr>
      <w:r w:rsidRPr="00AD417A">
        <w:rPr>
          <w:rFonts w:asciiTheme="minorHAnsi" w:hAnsiTheme="minorHAnsi" w:cstheme="minorHAnsi"/>
          <w:color w:val="333333"/>
          <w:shd w:val="clear" w:color="auto" w:fill="FFFFFF"/>
        </w:rPr>
        <w:t xml:space="preserve">Curtis, D. (2002, January). Learning By the Numbers: The Answers Are in the Details. Edutopia. </w:t>
      </w:r>
    </w:p>
    <w:p w14:paraId="3A23EF2E" w14:textId="11CB2B79" w:rsidR="00EE5BD6" w:rsidRPr="00AD417A" w:rsidRDefault="00EE5BD6" w:rsidP="00813BE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</w:rPr>
      </w:pPr>
      <w:hyperlink r:id="rId6" w:history="1">
        <w:r w:rsidRPr="00AD417A">
          <w:rPr>
            <w:rStyle w:val="Hyperlink"/>
            <w:rFonts w:asciiTheme="minorHAnsi" w:hAnsiTheme="minorHAnsi" w:cstheme="minorHAnsi"/>
            <w:shd w:val="clear" w:color="auto" w:fill="FFFFFF"/>
          </w:rPr>
          <w:t>https://www.edutopia.org/learning-numbers</w:t>
        </w:r>
      </w:hyperlink>
      <w:r w:rsidRPr="00AD417A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</w:p>
    <w:p w14:paraId="1441C4B4" w14:textId="77777777" w:rsidR="00EE5BD6" w:rsidRPr="00AD417A" w:rsidRDefault="00EE5BD6" w:rsidP="00813BE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7B12EB9" w14:textId="77777777" w:rsidR="000F0BBF" w:rsidRPr="00AD417A" w:rsidRDefault="000F0BBF" w:rsidP="00813BE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D61A770" w14:textId="617BDBEE" w:rsidR="000F0BBF" w:rsidRPr="00AD417A" w:rsidRDefault="000F0BBF" w:rsidP="00813BE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AD417A">
        <w:rPr>
          <w:rFonts w:asciiTheme="minorHAnsi" w:hAnsiTheme="minorHAnsi" w:cstheme="minorHAnsi"/>
          <w:color w:val="000000"/>
        </w:rPr>
        <w:t xml:space="preserve">Datnow, A. &amp; Park, V. (2018).  </w:t>
      </w:r>
      <w:r w:rsidRPr="00AD417A">
        <w:rPr>
          <w:rFonts w:asciiTheme="minorHAnsi" w:hAnsiTheme="minorHAnsi" w:cstheme="minorHAnsi"/>
          <w:i/>
          <w:iCs/>
          <w:color w:val="000000"/>
        </w:rPr>
        <w:t xml:space="preserve">Opening or closing doors for students?  Equality and </w:t>
      </w:r>
    </w:p>
    <w:p w14:paraId="7271518A" w14:textId="77777777" w:rsidR="000F0BBF" w:rsidRPr="00AD417A" w:rsidRDefault="000F0BBF" w:rsidP="00813BE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lang w:val="en-US"/>
        </w:rPr>
      </w:pPr>
      <w:r w:rsidRPr="00AD417A">
        <w:rPr>
          <w:rFonts w:asciiTheme="minorHAnsi" w:hAnsiTheme="minorHAnsi" w:cstheme="minorHAnsi"/>
          <w:i/>
          <w:iCs/>
          <w:color w:val="000000"/>
        </w:rPr>
        <w:t>dat</w:t>
      </w:r>
      <w:r w:rsidRPr="00AD417A">
        <w:rPr>
          <w:rFonts w:asciiTheme="minorHAnsi" w:hAnsiTheme="minorHAnsi" w:cstheme="minorHAnsi"/>
          <w:i/>
          <w:iCs/>
          <w:color w:val="000000"/>
          <w:lang w:val="en-US"/>
        </w:rPr>
        <w:t xml:space="preserve">a </w:t>
      </w:r>
      <w:r w:rsidRPr="00AD417A">
        <w:rPr>
          <w:rFonts w:asciiTheme="minorHAnsi" w:hAnsiTheme="minorHAnsi" w:cstheme="minorHAnsi"/>
          <w:i/>
          <w:iCs/>
          <w:color w:val="000000"/>
        </w:rPr>
        <w:t xml:space="preserve">use in schools. </w:t>
      </w:r>
      <w:r w:rsidRPr="00AD417A">
        <w:rPr>
          <w:rFonts w:asciiTheme="minorHAnsi" w:hAnsiTheme="minorHAnsi" w:cstheme="minorHAnsi"/>
          <w:color w:val="000000"/>
        </w:rPr>
        <w:t xml:space="preserve">Retrieved on </w:t>
      </w:r>
      <w:r w:rsidRPr="00AD417A">
        <w:rPr>
          <w:rFonts w:asciiTheme="minorHAnsi" w:hAnsiTheme="minorHAnsi" w:cstheme="minorHAnsi"/>
          <w:color w:val="000000"/>
          <w:lang w:val="en-US"/>
        </w:rPr>
        <w:t>February</w:t>
      </w:r>
      <w:r w:rsidRPr="00AD417A">
        <w:rPr>
          <w:rFonts w:asciiTheme="minorHAnsi" w:hAnsiTheme="minorHAnsi" w:cstheme="minorHAnsi"/>
          <w:color w:val="000000"/>
        </w:rPr>
        <w:t xml:space="preserve"> </w:t>
      </w:r>
      <w:r w:rsidRPr="00AD417A">
        <w:rPr>
          <w:rFonts w:asciiTheme="minorHAnsi" w:hAnsiTheme="minorHAnsi" w:cstheme="minorHAnsi"/>
          <w:color w:val="000000"/>
          <w:lang w:val="en-US"/>
        </w:rPr>
        <w:t>3</w:t>
      </w:r>
      <w:r w:rsidRPr="00AD417A">
        <w:rPr>
          <w:rFonts w:asciiTheme="minorHAnsi" w:hAnsiTheme="minorHAnsi" w:cstheme="minorHAnsi"/>
          <w:color w:val="000000"/>
        </w:rPr>
        <w:t>, 2023</w:t>
      </w:r>
      <w:r w:rsidRPr="00AD417A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3BDFD32D" w14:textId="43585223" w:rsidR="00275F18" w:rsidRPr="00AD417A" w:rsidRDefault="000F0BBF" w:rsidP="00813BE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AD417A">
        <w:rPr>
          <w:rFonts w:asciiTheme="minorHAnsi" w:hAnsiTheme="minorHAnsi" w:cstheme="minorHAnsi"/>
          <w:color w:val="000000"/>
        </w:rPr>
        <w:t xml:space="preserve">from:  </w:t>
      </w:r>
      <w:r w:rsidRPr="00AD417A">
        <w:rPr>
          <w:rFonts w:asciiTheme="minorHAnsi" w:hAnsiTheme="minorHAnsi" w:cstheme="minorHAnsi"/>
          <w:i/>
          <w:iCs/>
          <w:color w:val="000000"/>
        </w:rPr>
        <w:t> </w:t>
      </w:r>
      <w:hyperlink r:id="rId7" w:history="1">
        <w:r w:rsidRPr="00AD417A">
          <w:rPr>
            <w:rStyle w:val="Hyperlink"/>
            <w:rFonts w:asciiTheme="minorHAnsi" w:hAnsiTheme="minorHAnsi" w:cstheme="minorHAnsi"/>
            <w:color w:val="1155CC"/>
          </w:rPr>
          <w:t>https://teachnowprogram.com/amazon/getS3File?file=https://platform-user-content.s3.amazonaws.com/activity_resources/Datnow_%26_Park_Equity_and_data_use_in_Schools.pdf</w:t>
        </w:r>
      </w:hyperlink>
    </w:p>
    <w:p w14:paraId="2E53DBA9" w14:textId="621EBF27" w:rsidR="00EE5BD6" w:rsidRPr="00AD417A" w:rsidRDefault="00EE5BD6" w:rsidP="00813BE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D5BBB27" w14:textId="77777777" w:rsidR="005F5858" w:rsidRPr="00AD417A" w:rsidRDefault="008E65A7" w:rsidP="00813BE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  <w:lang w:val="en-US"/>
        </w:rPr>
      </w:pPr>
      <w:r w:rsidRPr="00AD417A">
        <w:rPr>
          <w:rFonts w:asciiTheme="minorHAnsi" w:hAnsiTheme="minorHAnsi" w:cstheme="minorHAnsi"/>
          <w:color w:val="000000"/>
        </w:rPr>
        <w:lastRenderedPageBreak/>
        <w:t xml:space="preserve">National Forum on Educational Statistics.(2010). </w:t>
      </w:r>
      <w:r w:rsidRPr="00AD417A">
        <w:rPr>
          <w:rFonts w:asciiTheme="minorHAnsi" w:hAnsiTheme="minorHAnsi" w:cstheme="minorHAnsi"/>
          <w:i/>
          <w:iCs/>
          <w:color w:val="000000"/>
        </w:rPr>
        <w:t>The Forum Guide to Data Ethics</w:t>
      </w:r>
      <w:r w:rsidRPr="00AD417A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</w:p>
    <w:p w14:paraId="6C709F6C" w14:textId="77777777" w:rsidR="005F5858" w:rsidRPr="00AD417A" w:rsidRDefault="005F5858" w:rsidP="00813BE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</w:rPr>
      </w:pPr>
      <w:r w:rsidRPr="00AD417A">
        <w:rPr>
          <w:rFonts w:asciiTheme="minorHAnsi" w:hAnsiTheme="minorHAnsi" w:cstheme="minorHAnsi"/>
        </w:rPr>
        <w:t xml:space="preserve">(NFES 2010–801). U.S. Department of Education. Washington, DC: National Center for </w:t>
      </w:r>
    </w:p>
    <w:p w14:paraId="3196260F" w14:textId="77777777" w:rsidR="005F5858" w:rsidRPr="00AD417A" w:rsidRDefault="005F5858" w:rsidP="00813BE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</w:rPr>
      </w:pPr>
      <w:r w:rsidRPr="00AD417A">
        <w:rPr>
          <w:rFonts w:asciiTheme="minorHAnsi" w:hAnsiTheme="minorHAnsi" w:cstheme="minorHAnsi"/>
        </w:rPr>
        <w:t>Education Statistics.</w:t>
      </w:r>
      <w:r w:rsidR="008E65A7" w:rsidRPr="00AD417A">
        <w:rPr>
          <w:rFonts w:asciiTheme="minorHAnsi" w:hAnsiTheme="minorHAnsi" w:cstheme="minorHAnsi"/>
          <w:color w:val="000000"/>
        </w:rPr>
        <w:t xml:space="preserve">Retrieved </w:t>
      </w:r>
      <w:r w:rsidR="008E65A7" w:rsidRPr="00AD417A">
        <w:rPr>
          <w:rFonts w:asciiTheme="minorHAnsi" w:hAnsiTheme="minorHAnsi" w:cstheme="minorHAnsi"/>
          <w:color w:val="000000"/>
          <w:lang w:val="en-US"/>
        </w:rPr>
        <w:t>February 3</w:t>
      </w:r>
      <w:r w:rsidR="008E65A7" w:rsidRPr="00AD417A">
        <w:rPr>
          <w:rFonts w:asciiTheme="minorHAnsi" w:hAnsiTheme="minorHAnsi" w:cstheme="minorHAnsi"/>
          <w:color w:val="000000"/>
        </w:rPr>
        <w:t xml:space="preserve">, 2023 </w:t>
      </w:r>
    </w:p>
    <w:p w14:paraId="5098366D" w14:textId="37A0DEF5" w:rsidR="00EE5BD6" w:rsidRPr="00AD417A" w:rsidRDefault="008E65A7" w:rsidP="00813BE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</w:rPr>
      </w:pPr>
      <w:r w:rsidRPr="00AD417A">
        <w:rPr>
          <w:rFonts w:asciiTheme="minorHAnsi" w:hAnsiTheme="minorHAnsi" w:cstheme="minorHAnsi"/>
          <w:color w:val="000000"/>
        </w:rPr>
        <w:t xml:space="preserve">from:  </w:t>
      </w:r>
      <w:hyperlink r:id="rId8" w:history="1">
        <w:r w:rsidRPr="00AD417A">
          <w:rPr>
            <w:rStyle w:val="Hyperlink"/>
            <w:rFonts w:asciiTheme="minorHAnsi" w:hAnsiTheme="minorHAnsi" w:cstheme="minorHAnsi"/>
            <w:color w:val="1155CC"/>
          </w:rPr>
          <w:t>https://nces.ed.gov/pubs2010/2010801.pdf</w:t>
        </w:r>
      </w:hyperlink>
    </w:p>
    <w:p w14:paraId="1439EB1E" w14:textId="0CFDA6E2" w:rsidR="008E65A7" w:rsidRPr="00AD417A" w:rsidRDefault="008E65A7" w:rsidP="00813BE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79F7DC6D" w14:textId="683EEB1C" w:rsidR="008E65A7" w:rsidRPr="00AD417A" w:rsidRDefault="008E65A7" w:rsidP="00813BE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8E65A7" w:rsidRPr="00AD41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0345"/>
    <w:multiLevelType w:val="hybridMultilevel"/>
    <w:tmpl w:val="61740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71963"/>
    <w:multiLevelType w:val="multilevel"/>
    <w:tmpl w:val="3D20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E45B9"/>
    <w:multiLevelType w:val="multilevel"/>
    <w:tmpl w:val="1C4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1839E9"/>
    <w:multiLevelType w:val="multilevel"/>
    <w:tmpl w:val="997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A45C9"/>
    <w:multiLevelType w:val="multilevel"/>
    <w:tmpl w:val="0078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52DCE"/>
    <w:multiLevelType w:val="multilevel"/>
    <w:tmpl w:val="D51C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3C13F8"/>
    <w:multiLevelType w:val="multilevel"/>
    <w:tmpl w:val="A4D0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115492">
    <w:abstractNumId w:val="3"/>
  </w:num>
  <w:num w:numId="2" w16cid:durableId="1393383296">
    <w:abstractNumId w:val="6"/>
  </w:num>
  <w:num w:numId="3" w16cid:durableId="27266373">
    <w:abstractNumId w:val="4"/>
  </w:num>
  <w:num w:numId="4" w16cid:durableId="1874033886">
    <w:abstractNumId w:val="0"/>
  </w:num>
  <w:num w:numId="5" w16cid:durableId="1010987727">
    <w:abstractNumId w:val="2"/>
  </w:num>
  <w:num w:numId="6" w16cid:durableId="1210801234">
    <w:abstractNumId w:val="1"/>
  </w:num>
  <w:num w:numId="7" w16cid:durableId="924725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A6"/>
    <w:rsid w:val="000F0BBF"/>
    <w:rsid w:val="001F7E98"/>
    <w:rsid w:val="00275F18"/>
    <w:rsid w:val="00305E4B"/>
    <w:rsid w:val="003D1568"/>
    <w:rsid w:val="005F5858"/>
    <w:rsid w:val="00813BE1"/>
    <w:rsid w:val="008A34F7"/>
    <w:rsid w:val="008E65A7"/>
    <w:rsid w:val="009469A6"/>
    <w:rsid w:val="00AD417A"/>
    <w:rsid w:val="00AE4FD3"/>
    <w:rsid w:val="00EE5BD6"/>
    <w:rsid w:val="00F261A7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CA31B"/>
  <w15:chartTrackingRefBased/>
  <w15:docId w15:val="{90B4FD59-F502-7F46-87C0-09444CC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D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9A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469A6"/>
    <w:rPr>
      <w:b/>
      <w:bCs/>
    </w:rPr>
  </w:style>
  <w:style w:type="paragraph" w:styleId="ListParagraph">
    <w:name w:val="List Paragraph"/>
    <w:basedOn w:val="Normal"/>
    <w:uiPriority w:val="34"/>
    <w:qFormat/>
    <w:rsid w:val="00275F18"/>
    <w:pPr>
      <w:ind w:left="720"/>
      <w:contextualSpacing/>
    </w:pPr>
  </w:style>
  <w:style w:type="table" w:styleId="TableGrid">
    <w:name w:val="Table Grid"/>
    <w:basedOn w:val="TableNormal"/>
    <w:uiPriority w:val="39"/>
    <w:rsid w:val="00275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0B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B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B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3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ed.gov/pubs2010/20108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chnowprogram.com/amazon/getS3File?file=https://platform-user-content.s3.amazonaws.com/activity_resources/Datnow_%26_Park_Equity_and_data_use_in_School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topia.org/learning-numbers" TargetMode="External"/><Relationship Id="rId5" Type="http://schemas.openxmlformats.org/officeDocument/2006/relationships/hyperlink" Target="https://www.edutopia.org/video/using-data-support-teacher-and-student-grow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Bogdanoff</dc:creator>
  <cp:keywords/>
  <dc:description/>
  <cp:lastModifiedBy>Natalie Bogdanoff</cp:lastModifiedBy>
  <cp:revision>2</cp:revision>
  <dcterms:created xsi:type="dcterms:W3CDTF">2023-02-02T04:29:00Z</dcterms:created>
  <dcterms:modified xsi:type="dcterms:W3CDTF">2023-02-03T14:00:00Z</dcterms:modified>
</cp:coreProperties>
</file>